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964" w:rsidRPr="00917107" w:rsidRDefault="00C17964" w:rsidP="00C17964">
      <w:pPr>
        <w:spacing w:line="480" w:lineRule="auto"/>
        <w:rPr>
          <w:rFonts w:ascii="Times New Roman" w:hAnsi="Times New Roman"/>
          <w:b/>
          <w:sz w:val="24"/>
          <w:szCs w:val="24"/>
          <w:lang w:val="en-US"/>
        </w:rPr>
      </w:pPr>
      <w:r>
        <w:rPr>
          <w:rFonts w:ascii="Times New Roman" w:hAnsi="Times New Roman"/>
          <w:b/>
          <w:sz w:val="24"/>
          <w:szCs w:val="24"/>
          <w:lang w:val="en-US"/>
        </w:rPr>
        <w:t xml:space="preserve">Supplementary </w:t>
      </w:r>
      <w:r w:rsidRPr="00917107">
        <w:rPr>
          <w:rFonts w:ascii="Times New Roman" w:hAnsi="Times New Roman"/>
          <w:b/>
          <w:sz w:val="24"/>
          <w:szCs w:val="24"/>
          <w:lang w:val="en-US"/>
        </w:rPr>
        <w:t xml:space="preserve">Table 4. </w:t>
      </w:r>
      <w:r w:rsidRPr="00917107">
        <w:rPr>
          <w:rFonts w:ascii="Times New Roman" w:hAnsi="Times New Roman"/>
          <w:sz w:val="24"/>
          <w:szCs w:val="24"/>
          <w:lang w:val="en-US"/>
        </w:rPr>
        <w:t>Effects of GOS/FOS with atypical dosages</w:t>
      </w:r>
      <w:r>
        <w:rPr>
          <w:rFonts w:ascii="Times New Roman" w:hAnsi="Times New Roman"/>
          <w:sz w:val="24"/>
          <w:szCs w:val="24"/>
          <w:lang w:val="en-US"/>
        </w:rPr>
        <w:t>.</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526"/>
        <w:gridCol w:w="2268"/>
        <w:gridCol w:w="1417"/>
        <w:gridCol w:w="2552"/>
        <w:gridCol w:w="4412"/>
        <w:gridCol w:w="2328"/>
      </w:tblGrid>
      <w:tr w:rsidR="008E58FF" w:rsidRPr="008E58FF" w:rsidTr="00781EBD">
        <w:tc>
          <w:tcPr>
            <w:tcW w:w="1526" w:type="dxa"/>
            <w:vAlign w:val="center"/>
          </w:tcPr>
          <w:p w:rsidR="008E58FF" w:rsidRPr="008E58FF" w:rsidRDefault="008E58FF" w:rsidP="008E58FF">
            <w:pPr>
              <w:spacing w:after="0" w:line="240" w:lineRule="auto"/>
              <w:rPr>
                <w:rFonts w:ascii="Times New Roman" w:hAnsi="Times New Roman"/>
                <w:i/>
                <w:sz w:val="20"/>
                <w:szCs w:val="20"/>
                <w:lang w:val="en-US"/>
              </w:rPr>
            </w:pPr>
            <w:r w:rsidRPr="008E58FF">
              <w:rPr>
                <w:rFonts w:ascii="Times New Roman" w:hAnsi="Times New Roman"/>
                <w:b/>
                <w:sz w:val="20"/>
                <w:szCs w:val="20"/>
              </w:rPr>
              <w:t>Reference</w:t>
            </w:r>
          </w:p>
        </w:tc>
        <w:tc>
          <w:tcPr>
            <w:tcW w:w="2268" w:type="dxa"/>
            <w:vAlign w:val="center"/>
          </w:tcPr>
          <w:p w:rsidR="008E58FF" w:rsidRPr="008E58FF" w:rsidRDefault="008E58FF" w:rsidP="008E58FF">
            <w:pPr>
              <w:spacing w:after="0" w:line="240" w:lineRule="auto"/>
              <w:jc w:val="center"/>
              <w:rPr>
                <w:rFonts w:ascii="Times New Roman" w:hAnsi="Times New Roman"/>
                <w:b/>
                <w:sz w:val="20"/>
                <w:szCs w:val="20"/>
                <w:lang w:val="en-US"/>
              </w:rPr>
            </w:pPr>
            <w:r w:rsidRPr="008E58FF">
              <w:rPr>
                <w:rFonts w:ascii="Times New Roman" w:hAnsi="Times New Roman"/>
                <w:b/>
                <w:sz w:val="20"/>
                <w:szCs w:val="20"/>
                <w:lang w:val="en-US"/>
              </w:rPr>
              <w:t>Prebiotics</w:t>
            </w:r>
          </w:p>
        </w:tc>
        <w:tc>
          <w:tcPr>
            <w:tcW w:w="1417" w:type="dxa"/>
            <w:vAlign w:val="center"/>
          </w:tcPr>
          <w:p w:rsidR="008E58FF" w:rsidRPr="008E58FF" w:rsidRDefault="008E58FF" w:rsidP="008E58FF">
            <w:pPr>
              <w:spacing w:after="0" w:line="240" w:lineRule="auto"/>
              <w:jc w:val="center"/>
              <w:rPr>
                <w:rFonts w:ascii="Times New Roman" w:hAnsi="Times New Roman"/>
                <w:i/>
                <w:sz w:val="20"/>
                <w:szCs w:val="20"/>
                <w:lang w:val="en-US"/>
              </w:rPr>
            </w:pPr>
            <w:r w:rsidRPr="008E58FF">
              <w:rPr>
                <w:rFonts w:ascii="Times New Roman" w:hAnsi="Times New Roman"/>
                <w:b/>
                <w:sz w:val="20"/>
                <w:szCs w:val="20"/>
              </w:rPr>
              <w:t>Dose</w:t>
            </w:r>
          </w:p>
        </w:tc>
        <w:tc>
          <w:tcPr>
            <w:tcW w:w="2552" w:type="dxa"/>
            <w:vAlign w:val="center"/>
          </w:tcPr>
          <w:p w:rsidR="008E58FF" w:rsidRPr="008E58FF" w:rsidRDefault="008E58FF" w:rsidP="008E58FF">
            <w:pPr>
              <w:spacing w:after="0" w:line="240" w:lineRule="auto"/>
              <w:jc w:val="center"/>
              <w:rPr>
                <w:rFonts w:ascii="Times New Roman" w:hAnsi="Times New Roman"/>
                <w:i/>
                <w:sz w:val="20"/>
                <w:szCs w:val="20"/>
                <w:lang w:val="en-US"/>
              </w:rPr>
            </w:pPr>
            <w:r w:rsidRPr="008E58FF">
              <w:rPr>
                <w:rFonts w:ascii="Times New Roman" w:hAnsi="Times New Roman"/>
                <w:b/>
                <w:sz w:val="20"/>
                <w:szCs w:val="20"/>
                <w:lang w:val="en-US"/>
              </w:rPr>
              <w:t>Objectives</w:t>
            </w:r>
          </w:p>
        </w:tc>
        <w:tc>
          <w:tcPr>
            <w:tcW w:w="4412" w:type="dxa"/>
            <w:vAlign w:val="center"/>
          </w:tcPr>
          <w:p w:rsidR="008E58FF" w:rsidRPr="008E58FF" w:rsidRDefault="008E58FF" w:rsidP="008E58FF">
            <w:pPr>
              <w:spacing w:after="0" w:line="240" w:lineRule="auto"/>
              <w:jc w:val="center"/>
              <w:rPr>
                <w:rFonts w:ascii="Times New Roman" w:hAnsi="Times New Roman"/>
                <w:i/>
                <w:sz w:val="20"/>
                <w:szCs w:val="20"/>
                <w:lang w:val="en-US"/>
              </w:rPr>
            </w:pPr>
            <w:r w:rsidRPr="008E58FF">
              <w:rPr>
                <w:rFonts w:ascii="Times New Roman" w:hAnsi="Times New Roman"/>
                <w:b/>
                <w:sz w:val="20"/>
                <w:szCs w:val="20"/>
                <w:lang w:val="en-US"/>
              </w:rPr>
              <w:t>Subjects and main features of the trial</w:t>
            </w:r>
          </w:p>
        </w:tc>
        <w:tc>
          <w:tcPr>
            <w:tcW w:w="2328" w:type="dxa"/>
            <w:vAlign w:val="center"/>
          </w:tcPr>
          <w:p w:rsidR="008E58FF" w:rsidRPr="008E58FF" w:rsidRDefault="008E58FF" w:rsidP="008E58FF">
            <w:pPr>
              <w:spacing w:after="0" w:line="240" w:lineRule="auto"/>
              <w:jc w:val="center"/>
              <w:rPr>
                <w:rFonts w:ascii="Times New Roman" w:hAnsi="Times New Roman"/>
                <w:i/>
                <w:sz w:val="20"/>
                <w:szCs w:val="20"/>
                <w:lang w:val="en-US"/>
              </w:rPr>
            </w:pPr>
            <w:proofErr w:type="spellStart"/>
            <w:r w:rsidRPr="008E58FF">
              <w:rPr>
                <w:rFonts w:ascii="Times New Roman" w:hAnsi="Times New Roman"/>
                <w:b/>
                <w:sz w:val="20"/>
                <w:szCs w:val="20"/>
              </w:rPr>
              <w:t>Outcomes</w:t>
            </w:r>
            <w:proofErr w:type="spellEnd"/>
          </w:p>
        </w:tc>
      </w:tr>
      <w:tr w:rsidR="008E58FF" w:rsidRPr="008E58FF" w:rsidTr="00781EBD">
        <w:tc>
          <w:tcPr>
            <w:tcW w:w="1526" w:type="dxa"/>
            <w:vAlign w:val="center"/>
          </w:tcPr>
          <w:p w:rsidR="008E58FF" w:rsidRPr="008E58FF" w:rsidRDefault="008E58FF" w:rsidP="008E58FF">
            <w:pPr>
              <w:spacing w:after="0" w:line="240" w:lineRule="auto"/>
              <w:rPr>
                <w:rFonts w:ascii="Times New Roman" w:hAnsi="Times New Roman"/>
                <w:i/>
                <w:sz w:val="20"/>
                <w:szCs w:val="20"/>
              </w:rPr>
            </w:pPr>
            <w:proofErr w:type="spellStart"/>
            <w:r w:rsidRPr="008E58FF">
              <w:rPr>
                <w:rFonts w:ascii="Times New Roman" w:hAnsi="Times New Roman"/>
                <w:sz w:val="20"/>
                <w:szCs w:val="20"/>
              </w:rPr>
              <w:t>Brunser</w:t>
            </w:r>
            <w:proofErr w:type="spellEnd"/>
            <w:r w:rsidRPr="008E58FF">
              <w:rPr>
                <w:rFonts w:ascii="Times New Roman" w:hAnsi="Times New Roman"/>
                <w:sz w:val="20"/>
                <w:szCs w:val="20"/>
              </w:rPr>
              <w:t xml:space="preserve"> et al., 2006 </w:t>
            </w:r>
            <w:r w:rsidRPr="008E58FF">
              <w:rPr>
                <w:rFonts w:ascii="Times New Roman" w:hAnsi="Times New Roman"/>
                <w:sz w:val="20"/>
                <w:szCs w:val="20"/>
              </w:rPr>
              <w:fldChar w:fldCharType="begin" w:fldLock="1"/>
            </w:r>
            <w:r w:rsidRPr="008E58FF">
              <w:rPr>
                <w:rFonts w:ascii="Times New Roman" w:hAnsi="Times New Roman"/>
                <w:sz w:val="20"/>
                <w:szCs w:val="20"/>
              </w:rPr>
              <w:instrText>ADDIN CSL_CITATION {"citationItems":[{"id":"ITEM-1","itemData":{"DOI":"10.1203/01.pdr.0000198773.40937.61","ISSN":"0031-3998","PMID":"16492988","abstract":"Antibiotics exert deleterious effects on the intestinal microbiota, favoring the emergence of opportunistic bacteria and diarrhea. Prebiotics are nondigestible food components that stimulate the growth of bifidobacteria. Our aim was to evaluate the effects on the intestinal microbiota of a prebiotic-supplemented milk formula after an antibiotic treatment. A randomized, double-blind, controlled clinical trial was carried out in 140 infants 1-2 y of age distributed into two groups after a 1-wk amoxicillin treatment (50 mg/kg/d) for acute bronchitis. The children received for 3 wk &gt;500 mL/d of a formula with prebiotics (4.5 g/L) or a control without prebiotics. Fecal samples were obtained on d -7 (at the beginning of the antibiotic treatment), on d 0 (end of the treatment and before formula administration), and on d 7 and 21 (during formula administration). Counts of Bifidobacterium, Lactobacillus-Enterococcus, Clostridium lituseburiense cluster, Clostridium histolyticum cluster, Escherichia coli, and Bacteroides-Prevotella were evaluated by fluorescent in situ hybridization (FISH) and flow cytometry. Tolerance and gastrointestinal symptoms were recorded daily. Amoxicillin decreased total fecal bacteria and increased E. coli. The prebiotic significantly increased bifidobacteria from 8.17 +/- 1.46 on d 0 to 8.54 +/- 1.20 on d 7 compared with the control 8.22 +/- 1.24 on d 0 versus 7.95 +/- 1.54 on d 7. The Lactobacillus population showed a similar tendency while the other bacteria were unaffected. No gastrointestinal symptoms were detected during the prebiotic administration. Prebiotics in a milk formula increase fecal bifidobacteria early after amoxicillin treatment without inducing gastrointestinal symptoms.","author":[{"dropping-particle":"","family":"Brunser","given":"Oscar","non-dropping-particle":"","parse-names":false,"suffix":""},{"dropping-particle":"","family":"Gotteland","given":"Martin","non-dropping-particle":"","parse-names":false,"suffix":""},{"dropping-particle":"","family":"Cruchet","given":"Sylvia","non-dropping-particle":"","parse-names":false,"suffix":""},{"dropping-particle":"","family":"Figueroa","given":"Guillermo","non-dropping-particle":"","parse-names":false,"suffix":""},{"dropping-particle":"","family":"Garrido","given":"Daniel","non-dropping-particle":"","parse-names":false,"suffix":""},{"dropping-particle":"","family":"Steenhout","given":"Philippe","non-dropping-particle":"","parse-names":false,"suffix":""}],"container-title":"Pediatric research","id":"ITEM-1","issue":"3","issued":{"date-parts":[["2006","3"]]},"page":"451-6","title":"Effect of a milk formula with prebiotics on the intestinal microbiota of infants after an antibiotic treatment.","type":"article-journal","volume":"59"},"uris":["http://www.mendeley.com/documents/?uuid=a1c83045-0ba2-4784-a8d6-4859cd89c95d"]}],"mendeley":{"formattedCitation":"[36]","plainTextFormattedCitation":"[36]","previouslyFormattedCitation":"[20]"},"properties":{"noteIndex":0},"schema":"https://github.com/citation-style-language/schema/raw/master/csl-citation.json"}</w:instrText>
            </w:r>
            <w:r w:rsidRPr="008E58FF">
              <w:rPr>
                <w:rFonts w:ascii="Times New Roman" w:hAnsi="Times New Roman"/>
                <w:sz w:val="20"/>
                <w:szCs w:val="20"/>
              </w:rPr>
              <w:fldChar w:fldCharType="separate"/>
            </w:r>
            <w:r w:rsidRPr="008E58FF">
              <w:rPr>
                <w:rFonts w:ascii="Times New Roman" w:hAnsi="Times New Roman"/>
                <w:noProof/>
                <w:sz w:val="20"/>
                <w:szCs w:val="20"/>
              </w:rPr>
              <w:t>[36]</w:t>
            </w:r>
            <w:r w:rsidRPr="008E58FF">
              <w:rPr>
                <w:rFonts w:ascii="Times New Roman" w:hAnsi="Times New Roman"/>
                <w:sz w:val="20"/>
                <w:szCs w:val="20"/>
              </w:rPr>
              <w:fldChar w:fldCharType="end"/>
            </w:r>
          </w:p>
        </w:tc>
        <w:tc>
          <w:tcPr>
            <w:tcW w:w="2268" w:type="dxa"/>
            <w:vAlign w:val="center"/>
          </w:tcPr>
          <w:p w:rsidR="008E58FF" w:rsidRPr="008E58FF" w:rsidRDefault="008E58FF" w:rsidP="008E58FF">
            <w:pPr>
              <w:spacing w:after="0" w:line="240" w:lineRule="auto"/>
              <w:jc w:val="center"/>
              <w:rPr>
                <w:rFonts w:ascii="Times New Roman" w:hAnsi="Times New Roman"/>
                <w:sz w:val="20"/>
                <w:szCs w:val="20"/>
                <w:lang w:val="en-US"/>
              </w:rPr>
            </w:pPr>
            <w:proofErr w:type="spellStart"/>
            <w:r w:rsidRPr="008E58FF">
              <w:rPr>
                <w:rFonts w:ascii="Times New Roman" w:hAnsi="Times New Roman"/>
                <w:sz w:val="20"/>
                <w:szCs w:val="20"/>
                <w:lang w:val="en-US"/>
              </w:rPr>
              <w:t>Oligofructose</w:t>
            </w:r>
            <w:proofErr w:type="spellEnd"/>
            <w:r w:rsidRPr="008E58FF">
              <w:rPr>
                <w:rFonts w:ascii="Times New Roman" w:hAnsi="Times New Roman"/>
                <w:sz w:val="20"/>
                <w:szCs w:val="20"/>
                <w:lang w:val="en-US"/>
              </w:rPr>
              <w:t xml:space="preserve"> and inulin in 70/30 proportion by weight </w:t>
            </w:r>
          </w:p>
        </w:tc>
        <w:tc>
          <w:tcPr>
            <w:tcW w:w="1417"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0.45 g/100 mL</w:t>
            </w:r>
          </w:p>
        </w:tc>
        <w:tc>
          <w:tcPr>
            <w:tcW w:w="2552" w:type="dxa"/>
            <w:vAlign w:val="center"/>
          </w:tcPr>
          <w:p w:rsidR="008E58FF" w:rsidRPr="008E58FF" w:rsidRDefault="008E58FF" w:rsidP="008E58FF">
            <w:pPr>
              <w:spacing w:after="0" w:line="240" w:lineRule="auto"/>
              <w:jc w:val="center"/>
              <w:rPr>
                <w:rFonts w:ascii="Times New Roman" w:hAnsi="Times New Roman"/>
                <w:i/>
                <w:sz w:val="20"/>
                <w:szCs w:val="20"/>
                <w:lang w:val="en-US"/>
              </w:rPr>
            </w:pPr>
            <w:r w:rsidRPr="008E58FF">
              <w:rPr>
                <w:rFonts w:ascii="Times New Roman" w:hAnsi="Times New Roman"/>
                <w:sz w:val="20"/>
                <w:szCs w:val="20"/>
                <w:lang w:val="en-US"/>
              </w:rPr>
              <w:t>To evaluate the effects on the intestinal microbiota of a prebiotic-supplemented milk formula after an antibiotic treatment</w:t>
            </w:r>
          </w:p>
        </w:tc>
        <w:tc>
          <w:tcPr>
            <w:tcW w:w="4412" w:type="dxa"/>
            <w:vAlign w:val="center"/>
          </w:tcPr>
          <w:p w:rsidR="008E58FF" w:rsidRPr="008E58FF" w:rsidRDefault="008E58FF" w:rsidP="008E58FF">
            <w:pPr>
              <w:spacing w:after="0" w:line="240" w:lineRule="auto"/>
              <w:jc w:val="center"/>
              <w:rPr>
                <w:rFonts w:ascii="Times New Roman" w:hAnsi="Times New Roman"/>
                <w:i/>
                <w:sz w:val="20"/>
                <w:szCs w:val="20"/>
                <w:lang w:val="en-US"/>
              </w:rPr>
            </w:pPr>
            <w:r w:rsidRPr="008E58FF">
              <w:rPr>
                <w:rFonts w:ascii="Times New Roman" w:hAnsi="Times New Roman"/>
                <w:sz w:val="20"/>
                <w:szCs w:val="20"/>
                <w:lang w:val="en-US"/>
              </w:rPr>
              <w:t xml:space="preserve">A prospective, randomized, double-blind, placebo-controlled trial carried out in 140 infants 1–2 y of age distributed into two groups after a 1-wk amoxicillin treatment (50 mg/kg/d) for acute bronchitis. The children received for 3 </w:t>
            </w:r>
            <w:proofErr w:type="spellStart"/>
            <w:r w:rsidRPr="008E58FF">
              <w:rPr>
                <w:rFonts w:ascii="Times New Roman" w:hAnsi="Times New Roman"/>
                <w:sz w:val="20"/>
                <w:szCs w:val="20"/>
                <w:lang w:val="en-US"/>
              </w:rPr>
              <w:t>wk</w:t>
            </w:r>
            <w:proofErr w:type="spellEnd"/>
            <w:r w:rsidRPr="008E58FF">
              <w:rPr>
                <w:rFonts w:ascii="Times New Roman" w:hAnsi="Times New Roman"/>
                <w:sz w:val="20"/>
                <w:szCs w:val="20"/>
                <w:lang w:val="en-US"/>
              </w:rPr>
              <w:t xml:space="preserve"> &gt;500 mL/d of a formula with prebiotics (4.5 g/l) or a control without prebiotics. Fecal samples were obtained on d –7 (at the beginning of the antibiotic treatment), on d 0 (end of the treatment and before formula administration), and on d 7 and 21 (during formula administration). Fecal populations were measured by fluorescent in situ hybridization (FISH) and flow cytometry. 57 children completed the protocol in the </w:t>
            </w:r>
            <w:proofErr w:type="spellStart"/>
            <w:r w:rsidRPr="008E58FF">
              <w:rPr>
                <w:rFonts w:ascii="Times New Roman" w:hAnsi="Times New Roman"/>
                <w:sz w:val="20"/>
                <w:szCs w:val="20"/>
                <w:lang w:val="en-US"/>
              </w:rPr>
              <w:t>Prebio</w:t>
            </w:r>
            <w:proofErr w:type="spellEnd"/>
            <w:r w:rsidRPr="008E58FF">
              <w:rPr>
                <w:rFonts w:ascii="Times New Roman" w:hAnsi="Times New Roman"/>
                <w:sz w:val="20"/>
                <w:szCs w:val="20"/>
                <w:lang w:val="en-US"/>
              </w:rPr>
              <w:t xml:space="preserve"> group and 56 children in the control group</w:t>
            </w:r>
          </w:p>
        </w:tc>
        <w:tc>
          <w:tcPr>
            <w:tcW w:w="2328"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 xml:space="preserve">The prebiotic significantly increased </w:t>
            </w:r>
            <w:proofErr w:type="spellStart"/>
            <w:r w:rsidRPr="008E58FF">
              <w:rPr>
                <w:rFonts w:ascii="Times New Roman" w:hAnsi="Times New Roman"/>
                <w:sz w:val="20"/>
                <w:szCs w:val="20"/>
                <w:lang w:val="en-US"/>
              </w:rPr>
              <w:t>bifidobacteria</w:t>
            </w:r>
            <w:proofErr w:type="spellEnd"/>
            <w:r w:rsidRPr="008E58FF">
              <w:rPr>
                <w:rFonts w:ascii="Times New Roman" w:hAnsi="Times New Roman"/>
                <w:sz w:val="20"/>
                <w:szCs w:val="20"/>
                <w:lang w:val="en-US"/>
              </w:rPr>
              <w:t xml:space="preserve"> from 8.17 ± 1.46 on d 0 to 8.54 ± 1.20 on d 7 compared with the control 8.22 ± 1.24 on d 0 versus 7.95 ± 1.54 on d 7</w:t>
            </w:r>
          </w:p>
        </w:tc>
      </w:tr>
      <w:tr w:rsidR="008E58FF" w:rsidRPr="008E58FF" w:rsidTr="00781EBD">
        <w:tc>
          <w:tcPr>
            <w:tcW w:w="1526" w:type="dxa"/>
            <w:vAlign w:val="center"/>
          </w:tcPr>
          <w:p w:rsidR="008E58FF" w:rsidRPr="008E58FF" w:rsidRDefault="008E58FF" w:rsidP="008E58FF">
            <w:pPr>
              <w:spacing w:after="0" w:line="240" w:lineRule="auto"/>
              <w:rPr>
                <w:rFonts w:ascii="Times New Roman" w:hAnsi="Times New Roman"/>
                <w:i/>
                <w:sz w:val="20"/>
                <w:szCs w:val="20"/>
                <w:lang w:val="en-US"/>
              </w:rPr>
            </w:pPr>
            <w:proofErr w:type="spellStart"/>
            <w:r w:rsidRPr="008E58FF">
              <w:rPr>
                <w:rFonts w:ascii="Times New Roman" w:hAnsi="Times New Roman"/>
                <w:sz w:val="20"/>
                <w:szCs w:val="20"/>
              </w:rPr>
              <w:t>Alliet</w:t>
            </w:r>
            <w:proofErr w:type="spellEnd"/>
            <w:r w:rsidRPr="008E58FF">
              <w:rPr>
                <w:rFonts w:ascii="Times New Roman" w:hAnsi="Times New Roman"/>
                <w:sz w:val="20"/>
                <w:szCs w:val="20"/>
              </w:rPr>
              <w:t xml:space="preserve"> et al., 2007 </w:t>
            </w:r>
            <w:r w:rsidRPr="008E58FF">
              <w:rPr>
                <w:rFonts w:ascii="Times New Roman" w:hAnsi="Times New Roman"/>
                <w:sz w:val="20"/>
                <w:szCs w:val="20"/>
              </w:rPr>
              <w:fldChar w:fldCharType="begin" w:fldLock="1"/>
            </w:r>
            <w:r w:rsidRPr="008E58FF">
              <w:rPr>
                <w:rFonts w:ascii="Times New Roman" w:hAnsi="Times New Roman"/>
                <w:sz w:val="20"/>
                <w:szCs w:val="20"/>
              </w:rPr>
              <w:instrText>ADDIN CSL_CITATION {"citationItems":[{"id":"ITEM-1","itemData":{"DOI":"10.1016/j.nut.2007.06.011","ISSN":"0899-9007","PMID":"17664059","abstract":"OBJECTIVE Cholesterol is a nutrient of essential importance in infant feeding because it is necessary in membrane development. In adults with high lipid levels, high doses of inulin (oligofructose) inconsistently decreased levels of serum cholesterol. The aim of the present study was to evaluate cholesterol and triacylglycerol levels in infants receiving a formula with a specific mixture of 0.6 g/100 mL of galacto-oligosaccharides (GOS) and long-chain fructo-oligosaccharides (lcFOS) in a ratio of 9/1, a control formula, or breast milk. Because the level of lcFOS in the infant milk is low, we hypothesized that there would be no differences between the formula groups. METHODS Two hundred fifteen infants were included in a prospective, randomized, double-blinded, placebo-controlled trial during the first 6 mo of life. Formula-fed infants were randomized to receive a standard infant formula with a specific mixture of 0.6 g/100 mL of GOS/lcFOS, in a ratio of 9/1, or a control formula. Breast-fed infants were randomized to receive one of these two formulas after the mother had decided to discontinue breastfeeding. Serum levels of cholesterol, high-density lipoprotein, low-density lipoprotein (LDL), and triacylglycerol were determined at 8 and 26 wk of age and were provided for infants who received the GOS/lcFOS formula or control formula from birth or after cessation of breastfeeding and for the subgroups that were fully fed with breast milk and formula. RESULTS One hundred eighty-seven infants completed the study. Total cholesterol and LDL levels at 8 and 26 wk were significantly lower in the formula-fed groups than in the breast-fed infants. There were no significant differences between the formula-fed groups. Levels of triacylglycerols and high-density lipoprotein did not differ between groups. CONCLUSION Our study demonstrated no differences in total cholesterol and LDL cholesterol in infants receiving an infant formula with GOS/lcFOS from infants receiving a control infant formula. Furthermore, total cholesterol and LDL cholesterol levels were higher in breast-fed infants than in formula-fed infants.","author":[{"dropping-particle":"","family":"Alliet","given":"Philippe","non-dropping-particle":"","parse-names":false,"suffix":""},{"d</w:instrText>
            </w:r>
            <w:r w:rsidRPr="008E58FF">
              <w:rPr>
                <w:rFonts w:ascii="Times New Roman" w:hAnsi="Times New Roman"/>
                <w:sz w:val="20"/>
                <w:szCs w:val="20"/>
                <w:lang w:val="en-US"/>
              </w:rPr>
              <w:instrText>ropping-particle":"","family":"Scholtens","given":"Petra","non-dropping-particle":"","parse-names":false,"suffix":""},{"dropping-particle":"","family":"Raes","given":"Marc","non-dropping-particle":"","parse-names":false,"suffix":""},{"dropping-particle":"","family":"Hensen","given":"Karen","non-dropping-particle":"","parse-names":false,"suffix":""},{"dropping-particle":"","family":"Jongen","given":"Hanne","non-dropping-particle":"","parse-names":false,"suffix":""},{"dropping-particle":"","family":"Rummens","given":"Jean-Luc","non-dropping-particle":"","parse-names":false,"suffix":""},{"dropping-particle":"","family":"Boehm","given":"Guenther","non-dropping-particle":"","parse-names":false,"suffix":""},{"dropping-particle":"","family":"Vandenplas","given":"Yvan","non-dropping-particle":"","parse-names":false,"suffix":""}],"container-title":"Nutrition (Burbank, Los Angeles County, Calif.)","id":"ITEM-1","issue":"10","issued":{"date-parts":[["2007","10"]]},"page":"719-23","title":"Effect of prebiotic galacto-oligosaccharide, long-chain fructo-oligosaccharide infant formula on serum cholesterol and triacylglycerol levels.","type":"article-journal","volume":"23"},"uris":["http://www.mendeley.com/documents/?uuid=8f85dc5d-ccb0-4f78-a7f3-126df5b5e9f2"]}],"mendeley":{"formattedCitation":"[37]","plainTextFormattedCitation":"[37]","previouslyFormattedCitation":"[37]"},"properties":{"noteIndex":0},"schema":"https://github.com/citation-style-language/schema/raw/master/csl-citation.json"}</w:instrText>
            </w:r>
            <w:r w:rsidRPr="008E58FF">
              <w:rPr>
                <w:rFonts w:ascii="Times New Roman" w:hAnsi="Times New Roman"/>
                <w:sz w:val="20"/>
                <w:szCs w:val="20"/>
              </w:rPr>
              <w:fldChar w:fldCharType="separate"/>
            </w:r>
            <w:r w:rsidRPr="008E58FF">
              <w:rPr>
                <w:rFonts w:ascii="Times New Roman" w:hAnsi="Times New Roman"/>
                <w:noProof/>
                <w:sz w:val="20"/>
                <w:szCs w:val="20"/>
                <w:lang w:val="en-US"/>
              </w:rPr>
              <w:t>[37]</w:t>
            </w:r>
            <w:r w:rsidRPr="008E58FF">
              <w:rPr>
                <w:rFonts w:ascii="Times New Roman" w:hAnsi="Times New Roman"/>
                <w:sz w:val="20"/>
                <w:szCs w:val="20"/>
              </w:rPr>
              <w:fldChar w:fldCharType="end"/>
            </w:r>
          </w:p>
        </w:tc>
        <w:tc>
          <w:tcPr>
            <w:tcW w:w="2268"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GOS/FOS</w:t>
            </w:r>
          </w:p>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(ratio 9:1)</w:t>
            </w:r>
          </w:p>
        </w:tc>
        <w:tc>
          <w:tcPr>
            <w:tcW w:w="1417"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0.6 g/100 mL</w:t>
            </w:r>
          </w:p>
        </w:tc>
        <w:tc>
          <w:tcPr>
            <w:tcW w:w="2552"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To evaluate cholesterol and triacylglycerol levels in infants receiving prebiotics</w:t>
            </w:r>
          </w:p>
        </w:tc>
        <w:tc>
          <w:tcPr>
            <w:tcW w:w="4412"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 xml:space="preserve">Prospective, randomized, double-blinded, placebo-controlled trial during the first 6 </w:t>
            </w:r>
            <w:proofErr w:type="spellStart"/>
            <w:r w:rsidRPr="008E58FF">
              <w:rPr>
                <w:rFonts w:ascii="Times New Roman" w:hAnsi="Times New Roman"/>
                <w:sz w:val="20"/>
                <w:szCs w:val="20"/>
                <w:lang w:val="en-US"/>
              </w:rPr>
              <w:t>mo</w:t>
            </w:r>
            <w:proofErr w:type="spellEnd"/>
            <w:r w:rsidRPr="008E58FF">
              <w:rPr>
                <w:rFonts w:ascii="Times New Roman" w:hAnsi="Times New Roman"/>
                <w:sz w:val="20"/>
                <w:szCs w:val="20"/>
                <w:lang w:val="en-US"/>
              </w:rPr>
              <w:t xml:space="preserve"> of life. 187 infants completed the study. Formula-fed infants were randomized to receive a standard infant formula with prebiotics or a control formula. Breast-fed infants were randomized to receive one of these two formulas  after the mother had decided to discontinue breastfeeding. Serum levels of cholesterol, high-density lipoprotein, low-density lipoprotein (LDL), and triacylglycerol were determined at 8 and 26 </w:t>
            </w:r>
            <w:proofErr w:type="spellStart"/>
            <w:r w:rsidRPr="008E58FF">
              <w:rPr>
                <w:rFonts w:ascii="Times New Roman" w:hAnsi="Times New Roman"/>
                <w:sz w:val="20"/>
                <w:szCs w:val="20"/>
                <w:lang w:val="en-US"/>
              </w:rPr>
              <w:t>wk</w:t>
            </w:r>
            <w:proofErr w:type="spellEnd"/>
            <w:r w:rsidRPr="008E58FF">
              <w:rPr>
                <w:rFonts w:ascii="Times New Roman" w:hAnsi="Times New Roman"/>
                <w:sz w:val="20"/>
                <w:szCs w:val="20"/>
                <w:lang w:val="en-US"/>
              </w:rPr>
              <w:t xml:space="preserve"> of age</w:t>
            </w:r>
          </w:p>
        </w:tc>
        <w:tc>
          <w:tcPr>
            <w:tcW w:w="2328"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No differences in total cholesterol and LDL cholesterol in infants receiving an infant formula with GOS/</w:t>
            </w:r>
            <w:proofErr w:type="spellStart"/>
            <w:r w:rsidRPr="008E58FF">
              <w:rPr>
                <w:rFonts w:ascii="Times New Roman" w:hAnsi="Times New Roman"/>
                <w:sz w:val="20"/>
                <w:szCs w:val="20"/>
                <w:lang w:val="en-US"/>
              </w:rPr>
              <w:t>lcFOS</w:t>
            </w:r>
            <w:proofErr w:type="spellEnd"/>
            <w:r w:rsidRPr="008E58FF">
              <w:rPr>
                <w:rFonts w:ascii="Times New Roman" w:hAnsi="Times New Roman"/>
                <w:sz w:val="20"/>
                <w:szCs w:val="20"/>
                <w:lang w:val="en-US"/>
              </w:rPr>
              <w:t xml:space="preserve"> from infants receiving a control infant formula. Total cholesterol and LDL cholesterol levels were higher in breast-fed infants than in formula-fed infants</w:t>
            </w:r>
          </w:p>
        </w:tc>
      </w:tr>
      <w:tr w:rsidR="008E58FF" w:rsidRPr="008E58FF" w:rsidTr="00781EBD">
        <w:tc>
          <w:tcPr>
            <w:tcW w:w="1526" w:type="dxa"/>
            <w:vAlign w:val="center"/>
          </w:tcPr>
          <w:p w:rsidR="008E58FF" w:rsidRPr="008E58FF" w:rsidRDefault="008E58FF" w:rsidP="008E58FF">
            <w:pPr>
              <w:spacing w:after="0" w:line="240" w:lineRule="auto"/>
              <w:rPr>
                <w:rFonts w:ascii="Times New Roman" w:hAnsi="Times New Roman"/>
                <w:sz w:val="20"/>
                <w:szCs w:val="20"/>
                <w:lang w:val="en-US"/>
              </w:rPr>
            </w:pPr>
            <w:proofErr w:type="spellStart"/>
            <w:r w:rsidRPr="008E58FF">
              <w:rPr>
                <w:rFonts w:ascii="Times New Roman" w:hAnsi="Times New Roman"/>
                <w:sz w:val="20"/>
                <w:szCs w:val="20"/>
                <w:lang w:val="en-US"/>
              </w:rPr>
              <w:t>Raes</w:t>
            </w:r>
            <w:proofErr w:type="spellEnd"/>
            <w:r w:rsidRPr="008E58FF">
              <w:rPr>
                <w:rFonts w:ascii="Times New Roman" w:hAnsi="Times New Roman"/>
                <w:sz w:val="20"/>
                <w:szCs w:val="20"/>
                <w:lang w:val="en-US"/>
              </w:rPr>
              <w:t xml:space="preserve"> et al., 2010 </w:t>
            </w:r>
            <w:r w:rsidRPr="008E58FF">
              <w:rPr>
                <w:rFonts w:ascii="Times New Roman" w:hAnsi="Times New Roman"/>
                <w:sz w:val="20"/>
                <w:szCs w:val="20"/>
              </w:rPr>
              <w:fldChar w:fldCharType="begin" w:fldLock="1"/>
            </w:r>
            <w:r w:rsidRPr="008E58FF">
              <w:rPr>
                <w:rFonts w:ascii="Times New Roman" w:hAnsi="Times New Roman"/>
                <w:sz w:val="20"/>
                <w:szCs w:val="20"/>
                <w:lang w:val="en-US"/>
              </w:rPr>
              <w:instrText>ADDIN CSL_CITATION {"citationItems":[{"id":"ITEM-1","itemData":{"DOI":"10.1111/j.1399-3038.2009.00957.x","ISSN":"1399-3038","PMID":"20003064","abstract":"This double-blind, randomized, placebo-controlled study, aimed to explore the effect of an infant milk formula (IMF) with 6 g/l short-chain galacto- and long-chain fructo-oligosaccharides (scGOS/lcFOS, ratio 9:1) on basal immune parameters in 215 healthy, term infants during the first 26 wk of life. After birth, the infants received breast milk or were randomized to receive an IMF with or without scGOS/lcFOS. Blood samples were collected at the age of 8 wk and 26 wk for the analysis of serum immunoglobulins, lymphocyte subpopulations, and cytokines. The scGOS/lcFOS group and the control group were compared in the statistical analysis. A breast fed group was included as a reference. In total, 187 Infants completed the study. No significant differences were observed between both formula groups in the different studied immune parameters at weeks 8 and 26. This explorative study indicates that supplementation of infant formula with a mixture of prebiotic oligosaccharides did not change the basal level of the measured parameters of the developing immune system in healthy infants with a balanced immune system during the first 6 months of life in comparison to feeding a standard infant formula and in comparison to exclusive breastfeeding.","author":[{"dropping-particle":"","family":"Raes","given":"M","non-dropping-particle":"","parse-names":false,"suffix":""},{"dropping-particle":"","family":"Scholtens","given":"P A M J","non-dropping-particle":"","parse-names":false,"suffix":""},{"dropping-particle":"","family":"Alliet","given":"Ph","non-dropping-particle":"","parse-names":false,"suffix":""},{"dropping-particle":"","family":"Hensen","given":"K","non-dropping-particle":"","parse-names":false,"suffix":""},{"dropping-particle":"","family":"Jongen","given":"H","non-dropping-particle":"","parse-names":false,"suffix":""},{"dropping-particle":"","family":"Boehm","given":"G","non-dropping-particle":"","parse-names":false,"suffix":""},{"dropping-particle":"","family":"Vandenplas","given":"Y","non-dropping-particle":"","parse-names":false,"suffix":""},{"dropping-particle":"","family":"Rummens","given":"J L","non-dropping-particle":"","parse-names":false,"suffix":""}],"container-title":"Pediatric allergy and immunology : official publication of the European Society of Pediatric Allergy and Immunology","id":"ITEM-1","issue":"2 Pt 2","issued":{"date-parts":[["2010","3"]]},"page":"e377-85","title":"Exploration of basal immune parameters in healthy infants receiving an infant milk formula supplemented with prebiotics.","type":"article-journal","volume":"21"},"uris":["http://www.mendeley.com/documents/?uuid=cfc7dfe5-0d14-4442-8b20-bd81c37ca7dc"]}],"mendeley":{"formattedCitation":"[38]","plainTextFormattedCitation":"[38]","previouslyFormattedCitation":"[39]"},"properties":{"noteIndex":0},"schema":"https://github.com/citation-style-language/schema/raw/master/csl-citation.json"}</w:instrText>
            </w:r>
            <w:r w:rsidRPr="008E58FF">
              <w:rPr>
                <w:rFonts w:ascii="Times New Roman" w:hAnsi="Times New Roman"/>
                <w:sz w:val="20"/>
                <w:szCs w:val="20"/>
              </w:rPr>
              <w:fldChar w:fldCharType="separate"/>
            </w:r>
            <w:r w:rsidRPr="008E58FF">
              <w:rPr>
                <w:rFonts w:ascii="Times New Roman" w:hAnsi="Times New Roman"/>
                <w:noProof/>
                <w:sz w:val="20"/>
                <w:szCs w:val="20"/>
                <w:lang w:val="en-US"/>
              </w:rPr>
              <w:t>[38]</w:t>
            </w:r>
            <w:r w:rsidRPr="008E58FF">
              <w:rPr>
                <w:rFonts w:ascii="Times New Roman" w:hAnsi="Times New Roman"/>
                <w:sz w:val="20"/>
                <w:szCs w:val="20"/>
              </w:rPr>
              <w:fldChar w:fldCharType="end"/>
            </w:r>
          </w:p>
        </w:tc>
        <w:tc>
          <w:tcPr>
            <w:tcW w:w="2268"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GOS/FOS</w:t>
            </w:r>
          </w:p>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(ratio 9:1)</w:t>
            </w:r>
          </w:p>
        </w:tc>
        <w:tc>
          <w:tcPr>
            <w:tcW w:w="1417"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0.6 g/100 mL</w:t>
            </w:r>
          </w:p>
        </w:tc>
        <w:tc>
          <w:tcPr>
            <w:tcW w:w="2552"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To assess the effect of an infant milk formula on basal immune parameters</w:t>
            </w:r>
          </w:p>
        </w:tc>
        <w:tc>
          <w:tcPr>
            <w:tcW w:w="4412"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 xml:space="preserve">Double-blind, randomized, placebo-controlled study involving 187 healthy, term infants during the first 26 </w:t>
            </w:r>
            <w:proofErr w:type="spellStart"/>
            <w:r w:rsidRPr="008E58FF">
              <w:rPr>
                <w:rFonts w:ascii="Times New Roman" w:hAnsi="Times New Roman"/>
                <w:sz w:val="20"/>
                <w:szCs w:val="20"/>
                <w:lang w:val="en-US"/>
              </w:rPr>
              <w:t>wk</w:t>
            </w:r>
            <w:proofErr w:type="spellEnd"/>
            <w:r w:rsidRPr="008E58FF">
              <w:rPr>
                <w:rFonts w:ascii="Times New Roman" w:hAnsi="Times New Roman"/>
                <w:sz w:val="20"/>
                <w:szCs w:val="20"/>
                <w:lang w:val="en-US"/>
              </w:rPr>
              <w:t xml:space="preserve"> of life. Blood samples were collected at the age of 8 </w:t>
            </w:r>
            <w:proofErr w:type="spellStart"/>
            <w:r w:rsidRPr="008E58FF">
              <w:rPr>
                <w:rFonts w:ascii="Times New Roman" w:hAnsi="Times New Roman"/>
                <w:sz w:val="20"/>
                <w:szCs w:val="20"/>
                <w:lang w:val="en-US"/>
              </w:rPr>
              <w:t>wk</w:t>
            </w:r>
            <w:proofErr w:type="spellEnd"/>
            <w:r w:rsidRPr="008E58FF">
              <w:rPr>
                <w:rFonts w:ascii="Times New Roman" w:hAnsi="Times New Roman"/>
                <w:sz w:val="20"/>
                <w:szCs w:val="20"/>
                <w:lang w:val="en-US"/>
              </w:rPr>
              <w:t xml:space="preserve"> and 26 </w:t>
            </w:r>
            <w:proofErr w:type="spellStart"/>
            <w:r w:rsidRPr="008E58FF">
              <w:rPr>
                <w:rFonts w:ascii="Times New Roman" w:hAnsi="Times New Roman"/>
                <w:sz w:val="20"/>
                <w:szCs w:val="20"/>
                <w:lang w:val="en-US"/>
              </w:rPr>
              <w:t>wk</w:t>
            </w:r>
            <w:proofErr w:type="spellEnd"/>
            <w:r w:rsidRPr="008E58FF">
              <w:rPr>
                <w:rFonts w:ascii="Times New Roman" w:hAnsi="Times New Roman"/>
                <w:sz w:val="20"/>
                <w:szCs w:val="20"/>
                <w:lang w:val="en-US"/>
              </w:rPr>
              <w:t xml:space="preserve"> for the analysis of serum immunoglobulins, lymphocyte subpopulations, and cytokines. A breast-fed group was included as a reference</w:t>
            </w:r>
          </w:p>
        </w:tc>
        <w:tc>
          <w:tcPr>
            <w:tcW w:w="2328" w:type="dxa"/>
            <w:vAlign w:val="center"/>
          </w:tcPr>
          <w:p w:rsidR="008E58FF" w:rsidRPr="008E58FF" w:rsidRDefault="008E58FF" w:rsidP="008E58FF">
            <w:pPr>
              <w:spacing w:after="0" w:line="240" w:lineRule="auto"/>
              <w:jc w:val="center"/>
              <w:rPr>
                <w:rFonts w:ascii="Times New Roman" w:hAnsi="Times New Roman"/>
                <w:sz w:val="20"/>
                <w:szCs w:val="20"/>
                <w:lang w:val="en-US"/>
              </w:rPr>
            </w:pPr>
            <w:r w:rsidRPr="008E58FF">
              <w:rPr>
                <w:rFonts w:ascii="Times New Roman" w:hAnsi="Times New Roman"/>
                <w:sz w:val="20"/>
                <w:szCs w:val="20"/>
                <w:lang w:val="en-US"/>
              </w:rPr>
              <w:t>No significant differences were observed between both formula groups in the different studied immune parameters at weeks 8 and 26</w:t>
            </w:r>
          </w:p>
        </w:tc>
      </w:tr>
    </w:tbl>
    <w:p w:rsidR="00650C14" w:rsidRPr="00C17964" w:rsidRDefault="008E58FF">
      <w:pPr>
        <w:rPr>
          <w:lang w:val="en-US"/>
        </w:rPr>
      </w:pPr>
      <w:bookmarkStart w:id="0" w:name="_GoBack"/>
      <w:bookmarkEnd w:id="0"/>
    </w:p>
    <w:sectPr w:rsidR="00650C14" w:rsidRPr="00C17964" w:rsidSect="00C17964">
      <w:pgSz w:w="16838" w:h="11906" w:orient="landscape"/>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AD"/>
    <w:rsid w:val="005C297F"/>
    <w:rsid w:val="006E5EAD"/>
    <w:rsid w:val="008E58FF"/>
    <w:rsid w:val="00B751BA"/>
    <w:rsid w:val="00C17964"/>
    <w:rsid w:val="00C61D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964"/>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964"/>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1935</Words>
  <Characters>11032</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Università Cattolica del Sacro Cuore - Piacenza</Company>
  <LinksUpToDate>false</LinksUpToDate>
  <CharactersWithSpaces>12942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Patrone</dc:creator>
  <cp:lastModifiedBy>Vania Patrone</cp:lastModifiedBy>
  <cp:revision>2</cp:revision>
  <dcterms:created xsi:type="dcterms:W3CDTF">2018-09-28T15:15:00Z</dcterms:created>
  <dcterms:modified xsi:type="dcterms:W3CDTF">2018-09-28T15:15:00Z</dcterms:modified>
</cp:coreProperties>
</file>